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17D" w:rsidRPr="00EB7A37" w:rsidRDefault="00EB7A37" w:rsidP="00EB7A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A37">
        <w:rPr>
          <w:rFonts w:ascii="Times New Roman" w:hAnsi="Times New Roman" w:cs="Times New Roman"/>
          <w:b/>
          <w:sz w:val="28"/>
          <w:szCs w:val="28"/>
        </w:rPr>
        <w:t>Сведения о закрытой учебной площадке</w:t>
      </w:r>
    </w:p>
    <w:p w:rsidR="00EB7A37" w:rsidRDefault="00EB7A37" w:rsidP="00EB7A37">
      <w:pPr>
        <w:ind w:firstLine="709"/>
        <w:jc w:val="both"/>
      </w:pPr>
    </w:p>
    <w:p w:rsidR="00EB7A37" w:rsidRPr="00EB7A37" w:rsidRDefault="00EB7A37" w:rsidP="00EB7A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>Закрытая учебная площадка находится по адресу: ул. Шоссейная,221а</w:t>
      </w:r>
    </w:p>
    <w:p w:rsidR="00EB7A37" w:rsidRPr="00EB7A37" w:rsidRDefault="00EB7A37" w:rsidP="00EB7A37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7A37">
        <w:rPr>
          <w:rFonts w:ascii="Times New Roman" w:hAnsi="Times New Roman" w:cs="Times New Roman"/>
          <w:sz w:val="28"/>
          <w:szCs w:val="28"/>
        </w:rPr>
        <w:t xml:space="preserve">Закрытая площадка имеет установленное по периметру ограждение, препятствующее движению по территории транспортных средств и пешеходов, за исключением транспортных средств, используемых для обучения вождению и проведения квалификационного экзамена, и лиц, непосредственно задействованных в проведении квалификационного экзамена, согласно </w:t>
      </w:r>
      <w:hyperlink r:id="rId4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2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 знаний и навыков управления транспортными средствами кандидатов в водители, прилагаемых к Правилам проведения экзаменов на право управления</w:t>
      </w:r>
      <w:proofErr w:type="gramEnd"/>
      <w:r w:rsidRPr="00EB7A37">
        <w:rPr>
          <w:rFonts w:ascii="Times New Roman" w:hAnsi="Times New Roman" w:cs="Times New Roman"/>
          <w:sz w:val="28"/>
          <w:szCs w:val="28"/>
        </w:rPr>
        <w:t xml:space="preserve"> транспортными средствами и выдачи водительских удостоверений, утвержденным постановлением Правительства Российской Федерации от 24 октября 2014 г. № 1097 «О допуске к управлению транспортными средствами» (Собрание законодательства Российской Федерации, 2014, № 44, ст. 6063; 2019, № 52, ст. 7974) (далее - Требования к техническим средствам контроля).</w:t>
      </w:r>
    </w:p>
    <w:p w:rsidR="00EB7A37" w:rsidRPr="00EB7A37" w:rsidRDefault="00EB7A37" w:rsidP="00EB7A37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Размеры и оборудование закрытой площадки обеспечивают возможность выполнения испытательных упражнений в зависимости от категории или подкатегории транспортного средства, используемых для проведения квалификационного экзамена согласно </w:t>
      </w:r>
      <w:hyperlink r:id="rId5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3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контроля.</w:t>
      </w:r>
    </w:p>
    <w:p w:rsidR="00EB7A37" w:rsidRPr="00EB7A37" w:rsidRDefault="00EB7A37" w:rsidP="00EB7A37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>Размеры закрытой площадки для первоначального обучения вождению транспортных средств составляют</w:t>
      </w:r>
      <w:proofErr w:type="gramStart"/>
      <w:r w:rsidRPr="00EB7A37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EB7A37">
        <w:rPr>
          <w:rFonts w:ascii="Times New Roman" w:hAnsi="Times New Roman" w:cs="Times New Roman"/>
          <w:sz w:val="28"/>
          <w:szCs w:val="28"/>
        </w:rPr>
        <w:t>,5 га. Для разметки границ выполнения соответствующих заданий применяются конуса разметочные (ограничительные), стойки разметочные, вехи стержневые.</w:t>
      </w:r>
    </w:p>
    <w:p w:rsidR="00EB7A37" w:rsidRPr="00EB7A37" w:rsidRDefault="00EB7A37" w:rsidP="00EB7A37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Зоны испытательных упражнений закрытой площадки имеют однородное </w:t>
      </w:r>
      <w:proofErr w:type="spellStart"/>
      <w:r w:rsidRPr="00EB7A37">
        <w:rPr>
          <w:rFonts w:ascii="Times New Roman" w:hAnsi="Times New Roman" w:cs="Times New Roman"/>
          <w:sz w:val="28"/>
          <w:szCs w:val="28"/>
        </w:rPr>
        <w:t>асфальт</w:t>
      </w:r>
      <w:proofErr w:type="gramStart"/>
      <w:r w:rsidRPr="00EB7A37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EB7A37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EB7A37">
        <w:rPr>
          <w:rFonts w:ascii="Times New Roman" w:hAnsi="Times New Roman" w:cs="Times New Roman"/>
          <w:sz w:val="28"/>
          <w:szCs w:val="28"/>
        </w:rPr>
        <w:t xml:space="preserve"> или цементобетонное покрытие согласно </w:t>
      </w:r>
      <w:hyperlink r:id="rId6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5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контроля.</w:t>
      </w:r>
    </w:p>
    <w:p w:rsidR="00EB7A37" w:rsidRPr="00EB7A37" w:rsidRDefault="00EB7A37" w:rsidP="00EB7A37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Наклонный участок имеет продольный уклон в пределах 12 процентов. </w:t>
      </w:r>
    </w:p>
    <w:p w:rsidR="00EB7A37" w:rsidRPr="00EB7A37" w:rsidRDefault="00EB7A37" w:rsidP="00EB7A3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lastRenderedPageBreak/>
        <w:t xml:space="preserve">На участках, предназначенных для движения транспортных средств, предусмотрен водоотвод. Проезжая часть горизонтальная с максимальным продольным уклоном не более 100 промилле согласно </w:t>
      </w:r>
      <w:hyperlink r:id="rId7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5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контроля.</w:t>
      </w:r>
    </w:p>
    <w:p w:rsidR="00EB7A37" w:rsidRPr="00EB7A37" w:rsidRDefault="00EB7A37" w:rsidP="00EB7A3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Коэффициент сцепления покрытия обеспечивает безопасные условия движения. В зоне движения транспортных средств не допускается наличие посторонних предметов, не имеющих отношения к обустройству закрытой площадки согласно </w:t>
      </w:r>
      <w:hyperlink r:id="rId8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5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контроля.</w:t>
      </w:r>
    </w:p>
    <w:p w:rsidR="00EB7A37" w:rsidRPr="00EB7A37" w:rsidRDefault="00EB7A37" w:rsidP="00EB7A3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Коэффициент сцепления колеса автомобиля с покрытием не менее 0,3 </w:t>
      </w:r>
      <w:proofErr w:type="gramStart"/>
      <w:r w:rsidRPr="00EB7A37">
        <w:rPr>
          <w:rFonts w:ascii="Times New Roman" w:hAnsi="Times New Roman" w:cs="Times New Roman"/>
          <w:sz w:val="28"/>
          <w:szCs w:val="28"/>
        </w:rPr>
        <w:t>при его измерении измерительным колесом стандартным с покрышкой с протектором без рисунка в соответствии</w:t>
      </w:r>
      <w:proofErr w:type="gramEnd"/>
      <w:r w:rsidRPr="00EB7A37">
        <w:rPr>
          <w:rFonts w:ascii="Times New Roman" w:hAnsi="Times New Roman" w:cs="Times New Roman"/>
          <w:sz w:val="28"/>
          <w:szCs w:val="28"/>
        </w:rPr>
        <w:t xml:space="preserve"> с </w:t>
      </w:r>
      <w:hyperlink r:id="rId9" w:history="1">
        <w:r w:rsidRPr="00EB7A37">
          <w:rPr>
            <w:rFonts w:ascii="Times New Roman" w:hAnsi="Times New Roman" w:cs="Times New Roman"/>
            <w:sz w:val="28"/>
            <w:szCs w:val="28"/>
          </w:rPr>
          <w:t>пунктом 5.2.2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Национального стандарта Российской Федерации «Дороги автомобильные и улицы. Требования к эксплуатационному состоянию, допустимому по условиям обеспечения безопасности дорожного движения. Методы контроля» ГОСТ </w:t>
      </w:r>
      <w:proofErr w:type="gramStart"/>
      <w:r w:rsidRPr="00EB7A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B7A37">
        <w:rPr>
          <w:rFonts w:ascii="Times New Roman" w:hAnsi="Times New Roman" w:cs="Times New Roman"/>
          <w:sz w:val="28"/>
          <w:szCs w:val="28"/>
        </w:rPr>
        <w:t xml:space="preserve"> 50597-2017, утвержденного </w:t>
      </w:r>
      <w:hyperlink r:id="rId10" w:history="1">
        <w:r w:rsidRPr="00EB7A37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Федерального агентства по техническому регулированию и метрологии от 26 сентября 2017 г. № 1245-ст (М., </w:t>
      </w:r>
      <w:proofErr w:type="spellStart"/>
      <w:r w:rsidRPr="00EB7A37">
        <w:rPr>
          <w:rFonts w:ascii="Times New Roman" w:hAnsi="Times New Roman" w:cs="Times New Roman"/>
          <w:sz w:val="28"/>
          <w:szCs w:val="28"/>
        </w:rPr>
        <w:t>Стандартинформ</w:t>
      </w:r>
      <w:proofErr w:type="spellEnd"/>
      <w:r w:rsidRPr="00EB7A37">
        <w:rPr>
          <w:rFonts w:ascii="Times New Roman" w:hAnsi="Times New Roman" w:cs="Times New Roman"/>
          <w:sz w:val="28"/>
          <w:szCs w:val="28"/>
        </w:rPr>
        <w:t>, 2017).</w:t>
      </w:r>
    </w:p>
    <w:p w:rsidR="00EB7A37" w:rsidRPr="00EB7A37" w:rsidRDefault="00EB7A37" w:rsidP="00EB7A37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B7A37">
        <w:rPr>
          <w:rFonts w:ascii="Times New Roman" w:hAnsi="Times New Roman" w:cs="Times New Roman"/>
          <w:sz w:val="28"/>
          <w:szCs w:val="28"/>
        </w:rPr>
        <w:t xml:space="preserve">При снижении естественной освещенности до 20 люксов используются наружные осветительные установки согласно </w:t>
      </w:r>
      <w:hyperlink r:id="rId11" w:history="1">
        <w:r w:rsidRPr="00EB7A37">
          <w:rPr>
            <w:rFonts w:ascii="Times New Roman" w:hAnsi="Times New Roman" w:cs="Times New Roman"/>
            <w:sz w:val="28"/>
            <w:szCs w:val="28"/>
          </w:rPr>
          <w:t>пункту 5</w:t>
        </w:r>
      </w:hyperlink>
      <w:r w:rsidRPr="00EB7A37">
        <w:rPr>
          <w:rFonts w:ascii="Times New Roman" w:hAnsi="Times New Roman" w:cs="Times New Roman"/>
          <w:sz w:val="28"/>
          <w:szCs w:val="28"/>
        </w:rPr>
        <w:t xml:space="preserve"> Требований к техническим средствам контроля.</w:t>
      </w:r>
    </w:p>
    <w:p w:rsidR="00EB7A37" w:rsidRPr="00EB7A37" w:rsidRDefault="00EB7A37" w:rsidP="00EB7A3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B7A37" w:rsidRPr="00EB7A37" w:rsidSect="002E3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B7A37"/>
    <w:rsid w:val="002E317D"/>
    <w:rsid w:val="00EB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B7A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50867&amp;date=29.05.2022&amp;dst=100183&amp;field=13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demo=2&amp;base=LAW&amp;n=350867&amp;date=29.05.2022&amp;dst=100183&amp;field=13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demo=2&amp;base=LAW&amp;n=350867&amp;date=29.05.2022&amp;dst=100183&amp;field=134" TargetMode="External"/><Relationship Id="rId11" Type="http://schemas.openxmlformats.org/officeDocument/2006/relationships/hyperlink" Target="https://login.consultant.ru/link/?req=doc&amp;demo=2&amp;base=LAW&amp;n=350867&amp;date=29.05.2022&amp;dst=100183&amp;field=134" TargetMode="External"/><Relationship Id="rId5" Type="http://schemas.openxmlformats.org/officeDocument/2006/relationships/hyperlink" Target="https://login.consultant.ru/link/?req=doc&amp;demo=2&amp;base=LAW&amp;n=350867&amp;date=29.05.2022&amp;dst=100181&amp;field=134" TargetMode="External"/><Relationship Id="rId10" Type="http://schemas.openxmlformats.org/officeDocument/2006/relationships/hyperlink" Target="https://login.consultant.ru/link/?req=doc&amp;demo=2&amp;base=LAW&amp;n=326968&amp;date=29.05.2022" TargetMode="External"/><Relationship Id="rId4" Type="http://schemas.openxmlformats.org/officeDocument/2006/relationships/hyperlink" Target="https://login.consultant.ru/link/?req=doc&amp;demo=2&amp;base=LAW&amp;n=350867&amp;date=29.05.2022&amp;dst=100180&amp;field=134" TargetMode="External"/><Relationship Id="rId9" Type="http://schemas.openxmlformats.org/officeDocument/2006/relationships/hyperlink" Target="https://login.consultant.ru/link/?req=doc&amp;demo=2&amp;base=LAW&amp;n=285670&amp;date=29.05.2022&amp;dst=100181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2024-06-05T07:33:00Z</dcterms:created>
  <dcterms:modified xsi:type="dcterms:W3CDTF">2024-06-05T07:35:00Z</dcterms:modified>
</cp:coreProperties>
</file>